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33" w:rsidRPr="00491B33" w:rsidRDefault="00491B33" w:rsidP="00491B33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91B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491B33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491B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91B3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491B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91B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491B33" w:rsidRPr="00491B33" w:rsidRDefault="00491B33" w:rsidP="00491B3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1B33" w:rsidRPr="00491B33" w:rsidRDefault="00491B33" w:rsidP="00491B33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91B33" w:rsidRPr="00491B33" w:rsidRDefault="00491B33" w:rsidP="00491B33">
      <w:pPr>
        <w:rPr>
          <w:rFonts w:ascii="Times New Roman" w:hAnsi="Times New Roman" w:cs="Times New Roman"/>
          <w:sz w:val="28"/>
          <w:szCs w:val="28"/>
        </w:rPr>
        <w:sectPr w:rsidR="00491B33" w:rsidRPr="00491B33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242F13" w:rsidRPr="000B6D2F" w:rsidRDefault="00491B33" w:rsidP="00491B33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B6D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B6D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0B6D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0B6D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B574C3" w:rsidRPr="000B6D2F">
        <w:rPr>
          <w:rFonts w:ascii="Times New Roman" w:hAnsi="Times New Roman" w:cs="Times New Roman"/>
          <w:sz w:val="28"/>
          <w:szCs w:val="28"/>
        </w:rPr>
        <w:br w:type="column"/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B6D2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574C3"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574C3" w:rsidRPr="000B6D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0B6D2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B574C3" w:rsidRPr="000B6D2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="00B574C3" w:rsidRPr="000B6D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574C3" w:rsidRPr="000B6D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="00B574C3" w:rsidRPr="000B6D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574C3" w:rsidRPr="000B6D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="00B574C3" w:rsidRPr="000B6D2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242F13" w:rsidRPr="000B6D2F" w:rsidRDefault="00242F13">
      <w:pPr>
        <w:rPr>
          <w:rFonts w:ascii="Times New Roman" w:hAnsi="Times New Roman" w:cs="Times New Roman"/>
          <w:sz w:val="28"/>
          <w:szCs w:val="28"/>
        </w:rPr>
        <w:sectPr w:rsidR="00242F13" w:rsidRPr="000B6D2F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242F13" w:rsidRPr="000B6D2F" w:rsidRDefault="00242F13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491B33" w:rsidRPr="00491B33" w:rsidRDefault="00491B33" w:rsidP="00491B33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491B33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242F13" w:rsidRPr="000B6D2F" w:rsidRDefault="00242F13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242F13" w:rsidRPr="000B6D2F" w:rsidRDefault="00242F13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242F13" w:rsidRPr="000B6D2F" w:rsidRDefault="00242F13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242F13" w:rsidRPr="000B6D2F" w:rsidRDefault="00242F13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242F13" w:rsidRPr="000B6D2F" w:rsidRDefault="00242F13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242F13" w:rsidRPr="000B6D2F" w:rsidRDefault="00242F13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242F13" w:rsidRPr="000B6D2F" w:rsidRDefault="00242F13">
      <w:pPr>
        <w:spacing w:after="7" w:line="12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242F13" w:rsidRPr="000B6D2F" w:rsidRDefault="00B574C3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0B6D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12" behindDoc="1" locked="0" layoutInCell="0" allowOverlap="1" wp14:anchorId="63913F8C" wp14:editId="563FD96A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242F13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42F13" w:rsidRDefault="0010278E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42F13" w:rsidRDefault="00242F13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42F13" w:rsidRDefault="00B574C3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ЦЕ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</w:p>
                              </w:tc>
                            </w:tr>
                            <w:tr w:rsidR="00242F13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42F13" w:rsidRDefault="0010278E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42F13" w:rsidRDefault="00B574C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Labo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42F13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42F13" w:rsidRDefault="0010278E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Елі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42F13" w:rsidRDefault="00B574C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ПА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141338" w:rsidRDefault="00141338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242F13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42F13" w:rsidRDefault="0010278E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42F13" w:rsidRDefault="00242F13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42F13" w:rsidRDefault="00B574C3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ЦЕ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</w:p>
                        </w:tc>
                      </w:tr>
                      <w:tr w:rsidR="00242F13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42F13" w:rsidRDefault="0010278E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42F13" w:rsidRDefault="00B574C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Labo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242F13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42F13" w:rsidRDefault="0010278E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Елі</w:t>
                            </w:r>
                            <w:proofErr w:type="spellEnd"/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42F13" w:rsidRDefault="00B574C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ПА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141338" w:rsidRDefault="00141338"/>
                  </w:txbxContent>
                </v:textbox>
                <w10:wrap anchorx="page"/>
              </v:shape>
            </w:pict>
          </mc:Fallback>
        </mc:AlternateContent>
      </w:r>
      <w:r w:rsidR="0010278E" w:rsidRPr="000B6D2F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Есептен құпия ақпарат жойылд</w:t>
      </w:r>
      <w:r w:rsidR="0010278E" w:rsidRPr="000B6D2F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242F13" w:rsidRPr="000B6D2F" w:rsidRDefault="00242F13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242F13" w:rsidRPr="000B6D2F" w:rsidRDefault="00242F13">
      <w:pPr>
        <w:spacing w:after="2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242F13" w:rsidRPr="000B6D2F" w:rsidRDefault="00B574C3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0B6D2F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1</w:t>
      </w:r>
      <w:r w:rsidRPr="000B6D2F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0B6D2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10278E" w:rsidRPr="000B6D2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242F13" w:rsidRPr="000B6D2F" w:rsidRDefault="00242F13">
      <w:pPr>
        <w:spacing w:after="5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242F13" w:rsidRPr="000B6D2F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B574C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10278E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242F13" w:rsidRPr="000B6D2F" w:rsidRDefault="00242F13">
      <w:pPr>
        <w:spacing w:after="3" w:line="220" w:lineRule="exact"/>
        <w:rPr>
          <w:rFonts w:ascii="Times New Roman" w:hAnsi="Times New Roman" w:cs="Times New Roman"/>
          <w:sz w:val="28"/>
          <w:szCs w:val="28"/>
        </w:rPr>
      </w:pPr>
    </w:p>
    <w:p w:rsidR="00242F13" w:rsidRPr="000B6D2F" w:rsidRDefault="00B574C3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0B6D2F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2</w:t>
      </w:r>
      <w:r w:rsidRPr="000B6D2F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0B6D2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10278E" w:rsidRPr="000B6D2F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242F13" w:rsidRPr="000B6D2F" w:rsidRDefault="00242F13">
      <w:pPr>
        <w:spacing w:line="32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242F13" w:rsidRPr="000B6D2F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B574C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10278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242F13" w:rsidRPr="000B6D2F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after="3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10278E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78E" w:rsidRPr="000B6D2F" w:rsidRDefault="0010278E" w:rsidP="0010278E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010"/>
                <w:tab w:val="left" w:pos="2871"/>
                <w:tab w:val="left" w:pos="3439"/>
                <w:tab w:val="left" w:pos="3938"/>
                <w:tab w:val="left" w:pos="4198"/>
                <w:tab w:val="left" w:pos="5044"/>
                <w:tab w:val="left" w:pos="5377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Белсенді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етінде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цилостазол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физикалық-химиялық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субстанциялардың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жеткілікті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көлемде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сапа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тұрақтылығын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дәлелдейді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өнімнің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біртектілігі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сериядан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сақталады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бақылауда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278E" w:rsidRPr="000B6D2F" w:rsidRDefault="0010278E" w:rsidP="0010278E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010"/>
                <w:tab w:val="left" w:pos="2871"/>
                <w:tab w:val="left" w:pos="3439"/>
                <w:tab w:val="left" w:pos="3938"/>
                <w:tab w:val="left" w:pos="4198"/>
                <w:tab w:val="left" w:pos="5044"/>
                <w:tab w:val="left" w:pos="5377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2F13" w:rsidRPr="000B6D2F" w:rsidRDefault="0010278E" w:rsidP="00FF7D7B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қолданылатын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әдістерінің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барабарлығын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растайды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Б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  <w:lang w:val="kk-KZ"/>
              </w:rPr>
              <w:t xml:space="preserve">дайын өнімде қолдану үшін ұсынылады. </w:t>
            </w:r>
          </w:p>
        </w:tc>
      </w:tr>
    </w:tbl>
    <w:p w:rsidR="00242F13" w:rsidRPr="000B6D2F" w:rsidRDefault="00242F13">
      <w:pPr>
        <w:rPr>
          <w:rFonts w:ascii="Times New Roman" w:hAnsi="Times New Roman" w:cs="Times New Roman"/>
          <w:sz w:val="28"/>
          <w:szCs w:val="28"/>
        </w:rPr>
        <w:sectPr w:rsidR="00242F13" w:rsidRPr="000B6D2F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242F13" w:rsidRPr="000B6D2F">
        <w:trPr>
          <w:cantSplit/>
          <w:trHeight w:hRule="exact" w:val="44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after="11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FF7D7B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D7B" w:rsidRPr="000B6D2F" w:rsidRDefault="00FF7D7B" w:rsidP="00FF7D7B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ілік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өндіру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сападағы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эксципиенттер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7D7B" w:rsidRPr="000B6D2F" w:rsidRDefault="00FF7D7B" w:rsidP="00FF7D7B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2F13" w:rsidRPr="000B6D2F" w:rsidRDefault="00FF7D7B" w:rsidP="00FF7D7B">
            <w:pPr>
              <w:widowControl w:val="0"/>
              <w:tabs>
                <w:tab w:val="left" w:pos="1657"/>
                <w:tab w:val="left" w:pos="2209"/>
                <w:tab w:val="left" w:pos="3167"/>
                <w:tab w:val="left" w:pos="3685"/>
                <w:tab w:val="left" w:pos="4708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олдану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бояғыштар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тектес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пайдаланылмайды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сертификаттарымен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(ЕФ 9.5, БФ 2017).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негізделді,компоненттердің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үйлесімділігі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тұрақтылықты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зерделеу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деректермен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42F13" w:rsidRPr="000B6D2F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B574C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FF7D7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242F13" w:rsidRPr="000B6D2F" w:rsidTr="00FF7D7B">
        <w:trPr>
          <w:cantSplit/>
          <w:trHeight w:hRule="exact" w:val="254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FF7D7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FF7D7B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ерекшелігінің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242F13" w:rsidRPr="000B6D2F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FF7D7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D7B" w:rsidRPr="000B6D2F" w:rsidRDefault="00FF7D7B" w:rsidP="00FF7D7B">
            <w:pPr>
              <w:widowControl w:val="0"/>
              <w:tabs>
                <w:tab w:val="left" w:pos="1114"/>
                <w:tab w:val="left" w:pos="1821"/>
                <w:tab w:val="left" w:pos="2192"/>
                <w:tab w:val="left" w:pos="3082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Ф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9.5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стандарттары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ІС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Һ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Q2, Q6, Q3 А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басшылығының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шеңберінде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ерекшеліктің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негіздемесі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препараттың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қолданылатын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әдістерінің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барабарлығын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</w:p>
          <w:p w:rsidR="00FF7D7B" w:rsidRPr="000B6D2F" w:rsidRDefault="00FF7D7B" w:rsidP="00FF7D7B">
            <w:pPr>
              <w:widowControl w:val="0"/>
              <w:tabs>
                <w:tab w:val="left" w:pos="1114"/>
                <w:tab w:val="left" w:pos="1821"/>
                <w:tab w:val="left" w:pos="2192"/>
                <w:tab w:val="left" w:pos="3082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Талдамалқ  әдістемелердің жүргізілген валидациясының нәтижелері мәлімделген дәрілік заттың сапасын әдеттегі бақылау үшін әдістемелерді қолдану мүмкіндігін растайды.</w:t>
            </w:r>
          </w:p>
          <w:p w:rsidR="00FF7D7B" w:rsidRPr="000B6D2F" w:rsidRDefault="00FF7D7B" w:rsidP="00FF7D7B">
            <w:pPr>
              <w:widowControl w:val="0"/>
              <w:tabs>
                <w:tab w:val="left" w:pos="1114"/>
                <w:tab w:val="left" w:pos="1821"/>
                <w:tab w:val="left" w:pos="2192"/>
                <w:tab w:val="left" w:pos="3082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</w:p>
          <w:p w:rsidR="00242F13" w:rsidRPr="000B6D2F" w:rsidRDefault="00FF7D7B" w:rsidP="00FF7D7B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Үш бірізді серияға ұсынылған талдау сертификаттары өнімнің сапасы мен біртектілігі сериядан серияға дейін сақталатынын және процесс бақылауда екенін дәлелдейді.</w:t>
            </w:r>
          </w:p>
        </w:tc>
      </w:tr>
      <w:tr w:rsidR="00242F13" w:rsidRPr="000B6D2F" w:rsidTr="008540D4">
        <w:trPr>
          <w:cantSplit/>
          <w:trHeight w:hRule="exact" w:val="5539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FF7D7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40D4" w:rsidRPr="000B6D2F" w:rsidRDefault="008540D4" w:rsidP="008540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ICH Q1A (R2), Q1 C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жүргізілді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8540D4" w:rsidRPr="000B6D2F" w:rsidRDefault="008540D4" w:rsidP="008540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Бастапқы қаптама мәлімделген деректерге  сәйкес келеді. </w:t>
            </w:r>
          </w:p>
          <w:p w:rsidR="008540D4" w:rsidRPr="000B6D2F" w:rsidRDefault="008540D4" w:rsidP="008540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8540D4" w:rsidRPr="000B6D2F" w:rsidRDefault="008540D4" w:rsidP="008540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імді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препарат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сапасының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сыни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көрсеткіштерінің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8540D4" w:rsidRPr="000B6D2F" w:rsidRDefault="008540D4" w:rsidP="008540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8540D4" w:rsidRPr="000B6D2F" w:rsidRDefault="008540D4" w:rsidP="008540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1.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спецификация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  <w:p w:rsidR="008540D4" w:rsidRPr="000B6D2F" w:rsidRDefault="008540D4" w:rsidP="008540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8540D4" w:rsidRPr="000B6D2F" w:rsidRDefault="008540D4" w:rsidP="008540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2.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Қоспалардың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спецификация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шегінде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болады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  <w:p w:rsidR="008540D4" w:rsidRPr="000B6D2F" w:rsidRDefault="008540D4" w:rsidP="008540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8540D4" w:rsidRPr="000B6D2F" w:rsidRDefault="008540D4" w:rsidP="008540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Әсер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етуші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сандық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құрамының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8540D4" w:rsidRPr="000B6D2F" w:rsidRDefault="008540D4" w:rsidP="008540D4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242F13" w:rsidRPr="000B6D2F" w:rsidRDefault="008540D4" w:rsidP="008540D4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тұрақтылығын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мәлімделген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сақтау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мерзімін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растайды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</w:tbl>
    <w:p w:rsidR="00242F13" w:rsidRPr="000B6D2F" w:rsidRDefault="00242F13">
      <w:pPr>
        <w:rPr>
          <w:rFonts w:ascii="Times New Roman" w:hAnsi="Times New Roman" w:cs="Times New Roman"/>
          <w:sz w:val="28"/>
          <w:szCs w:val="28"/>
        </w:rPr>
        <w:sectPr w:rsidR="00242F13" w:rsidRPr="000B6D2F">
          <w:pgSz w:w="11905" w:h="16837"/>
          <w:pgMar w:top="560" w:right="850" w:bottom="506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242F13" w:rsidRPr="000B6D2F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after="10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B460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B46091">
            <w:pPr>
              <w:widowControl w:val="0"/>
              <w:spacing w:line="240" w:lineRule="auto"/>
              <w:ind w:left="60" w:right="8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зерттеулер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бойынша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әдеби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шолу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  <w:tr w:rsidR="00242F13" w:rsidRPr="000B6D2F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after="10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B4609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B46091">
            <w:pPr>
              <w:widowControl w:val="0"/>
              <w:spacing w:line="240" w:lineRule="auto"/>
              <w:ind w:left="60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Материал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тиімділік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пен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қауіпсіздіктің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клиникалық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зерттеулері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әдебиеттер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шолуы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тү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інде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242F13" w:rsidRPr="000B6D2F">
        <w:trPr>
          <w:cantSplit/>
          <w:trHeight w:hRule="exact" w:val="136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242F13">
            <w:pPr>
              <w:spacing w:after="9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E823F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FB" w:rsidRPr="000B6D2F" w:rsidRDefault="00E823FB" w:rsidP="00E823FB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Препаратты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дә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ігердің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тағайындауына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сәйкес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қолданған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және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нұсқаулықты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сақтаған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жағдайда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«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пайда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/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қауіп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»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қатынасы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қолайлы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</w:p>
          <w:p w:rsidR="00E823FB" w:rsidRPr="000B6D2F" w:rsidRDefault="00E823FB" w:rsidP="00E823FB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</w:p>
          <w:p w:rsidR="00242F13" w:rsidRPr="000B6D2F" w:rsidRDefault="00E823FB" w:rsidP="00E823F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олдан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у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ға болады. </w:t>
            </w:r>
          </w:p>
          <w:p w:rsidR="00E823FB" w:rsidRPr="000B6D2F" w:rsidRDefault="00E823FB" w:rsidP="00E823FB">
            <w:pPr>
              <w:widowControl w:val="0"/>
              <w:tabs>
                <w:tab w:val="left" w:pos="1452"/>
                <w:tab w:val="left" w:pos="2993"/>
                <w:tab w:val="left" w:pos="3554"/>
                <w:tab w:val="left" w:pos="4433"/>
                <w:tab w:val="left" w:pos="4788"/>
                <w:tab w:val="left" w:pos="6087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барынша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ауырсынусыз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өтетін қашықтық мен қашықтықты арттыру үшін, тыныштық жағдайында ауырсынуы жоқ және шеткі тіндердің некрозының белгілері жоқ (Фонтейннің жіктелуі бойынша II сатылы шеткі артериялардың аурулары) бар емделушілерде)</w:t>
            </w:r>
          </w:p>
          <w:p w:rsidR="00E823FB" w:rsidRPr="000B6D2F" w:rsidRDefault="00E823FB" w:rsidP="00E823FB">
            <w:pPr>
              <w:widowControl w:val="0"/>
              <w:tabs>
                <w:tab w:val="left" w:pos="1452"/>
                <w:tab w:val="left" w:pos="2993"/>
                <w:tab w:val="left" w:pos="3554"/>
                <w:tab w:val="left" w:pos="4433"/>
                <w:tab w:val="left" w:pos="4788"/>
                <w:tab w:val="left" w:pos="6087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</w:p>
          <w:p w:rsidR="00242F13" w:rsidRPr="000B6D2F" w:rsidRDefault="00E823FB" w:rsidP="00E823F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-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өмі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proofErr w:type="spellEnd"/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сүру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салтының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өзгеруі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(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темекі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шегуді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тоқтатуды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және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физикалық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оңалту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бағдарламасының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бақылауымен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жүргізілетін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)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және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басқа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да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араласулар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жүріп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өтетін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хромотаның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симптомдарын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жеңілдету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үшін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жеткіліксіз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болған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хромотасы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бар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емделушілерде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екінші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қатардағы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терапия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ретінде</w:t>
            </w:r>
            <w:proofErr w:type="spellEnd"/>
          </w:p>
          <w:p w:rsidR="00242F13" w:rsidRPr="000B6D2F" w:rsidRDefault="00E823FB">
            <w:pPr>
              <w:widowControl w:val="0"/>
              <w:spacing w:line="240" w:lineRule="auto"/>
              <w:ind w:left="60" w:right="-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Пайданы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ау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іпті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бағалауды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есепке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ала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мыналар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ұсынылмайды</w:t>
            </w:r>
            <w:proofErr w:type="spellEnd"/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42F13" w:rsidRPr="000B6D2F" w:rsidRDefault="00242F1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цилостазол</w:t>
            </w:r>
            <w:proofErr w:type="gram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ға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препараттың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кез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келген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басқа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компонентіне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жоғары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сезімталдық</w:t>
            </w:r>
            <w:proofErr w:type="spellEnd"/>
          </w:p>
          <w:p w:rsidR="00242F13" w:rsidRPr="000B6D2F" w:rsidRDefault="00B574C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ауыр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бүйрек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23FB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функциясы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жеткіліксіздігі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креатинин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823FB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клиренсі</w:t>
            </w:r>
            <w:proofErr w:type="spellEnd"/>
            <w:r w:rsidR="00E823FB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≤ 25 мл / мин)</w:t>
            </w:r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қалыпты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ауыр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бауыр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функциясы </w:t>
            </w:r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жеткіліксіздігі</w:t>
            </w:r>
            <w:proofErr w:type="spellEnd"/>
          </w:p>
          <w:p w:rsidR="00242F13" w:rsidRPr="000B6D2F" w:rsidRDefault="00242F1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қан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етуге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бейімділік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(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мысалы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асқыну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сатысындағы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асқазанның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немесе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он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екі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елі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ішектің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жара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ауруы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жақында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(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соңғы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6 </w:t>
            </w:r>
            <w:proofErr w:type="gram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ай</w:t>
            </w:r>
            <w:proofErr w:type="gram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ішінде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)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бастан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өткерген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геморрагиялық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инсульт,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пролиферативті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диабеттік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ретинопатия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нашар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бақыланатын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артериялық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гипертензия)</w:t>
            </w:r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созылмалы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жүрек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функциясы </w:t>
            </w:r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жеткіліксіздігі</w:t>
            </w:r>
            <w:proofErr w:type="spellEnd"/>
          </w:p>
          <w:p w:rsidR="00242F13" w:rsidRPr="000B6D2F" w:rsidRDefault="00242F1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 w:rsidP="00A7329A">
            <w:pPr>
              <w:spacing w:after="12"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анамнезінде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қарыншалық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тахикардияның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қарыншалардың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фибрилляциясының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саяси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қарыншалық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экстрасистолияның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болуы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адекватты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аритмия</w:t>
            </w:r>
            <w:proofErr w:type="gram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ға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қарсы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терапияның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болуына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болмауына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қарамастан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))</w:t>
            </w:r>
          </w:p>
          <w:p w:rsidR="00242F13" w:rsidRPr="000B6D2F" w:rsidRDefault="00B574C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ұзартылған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QT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аралығы</w:t>
            </w:r>
            <w:proofErr w:type="spellEnd"/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анамнезінде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ауыр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тахиаритмияның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болуы</w:t>
            </w:r>
            <w:proofErr w:type="spellEnd"/>
          </w:p>
          <w:p w:rsidR="00242F13" w:rsidRPr="000B6D2F" w:rsidRDefault="00242F1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widowControl w:val="0"/>
              <w:spacing w:line="240" w:lineRule="auto"/>
              <w:ind w:left="60"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емес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стенокардия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миокард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инфарктісі</w:t>
            </w:r>
            <w:proofErr w:type="spellEnd"/>
            <w:proofErr w:type="gram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соңғы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6 ай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ішінде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коронарлық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артерияларға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инвазиялық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араласу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соңғы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6 ай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ішінде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</w:tbl>
    <w:p w:rsidR="00242F13" w:rsidRPr="000B6D2F" w:rsidRDefault="00242F13">
      <w:pPr>
        <w:rPr>
          <w:rFonts w:ascii="Times New Roman" w:hAnsi="Times New Roman" w:cs="Times New Roman"/>
          <w:sz w:val="28"/>
          <w:szCs w:val="28"/>
        </w:rPr>
        <w:sectPr w:rsidR="00242F13" w:rsidRPr="000B6D2F">
          <w:pgSz w:w="11905" w:h="16837"/>
          <w:pgMar w:top="560" w:right="850" w:bottom="500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242F13" w:rsidRPr="000B6D2F" w:rsidTr="00574507">
        <w:trPr>
          <w:cantSplit/>
          <w:trHeight w:hRule="exact" w:val="100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29A" w:rsidRPr="000B6D2F" w:rsidRDefault="00B574C3" w:rsidP="00A7329A">
            <w:pPr>
              <w:widowControl w:val="0"/>
              <w:tabs>
                <w:tab w:val="left" w:pos="1284"/>
                <w:tab w:val="left" w:pos="1836"/>
                <w:tab w:val="left" w:pos="2854"/>
                <w:tab w:val="left" w:pos="4626"/>
                <w:tab w:val="left" w:pos="530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екі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немесе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одан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да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кө</w:t>
            </w:r>
            <w:proofErr w:type="gram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қосымша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антиагрегантты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немесе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антикоагулянтты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дәрілік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заттарды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(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мысалы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ацетилсалицил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қышқылы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клопидогрел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гепарин,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Варфарин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аценокумарол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дабигатран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ривароксабан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немесе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апиксабан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)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бір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мезгілде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қабылдау</w:t>
            </w:r>
            <w:proofErr w:type="spellEnd"/>
            <w:r w:rsidR="00A7329A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)</w:t>
            </w:r>
          </w:p>
          <w:p w:rsidR="00A7329A" w:rsidRPr="000B6D2F" w:rsidRDefault="00A7329A" w:rsidP="00A7329A">
            <w:pPr>
              <w:widowControl w:val="0"/>
              <w:tabs>
                <w:tab w:val="left" w:pos="1284"/>
                <w:tab w:val="left" w:pos="1836"/>
                <w:tab w:val="left" w:pos="2854"/>
                <w:tab w:val="left" w:pos="4626"/>
                <w:tab w:val="left" w:pos="530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A7329A" w:rsidRPr="000B6D2F" w:rsidRDefault="00A7329A" w:rsidP="00A7329A">
            <w:pPr>
              <w:widowControl w:val="0"/>
              <w:tabs>
                <w:tab w:val="left" w:pos="1284"/>
                <w:tab w:val="left" w:pos="1836"/>
                <w:tab w:val="left" w:pos="2854"/>
                <w:tab w:val="left" w:pos="4626"/>
                <w:tab w:val="left" w:pos="530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-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жүктілі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proofErr w:type="spellEnd"/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бала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емізу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кезеңі</w:t>
            </w:r>
            <w:proofErr w:type="spellEnd"/>
          </w:p>
          <w:p w:rsidR="00A7329A" w:rsidRPr="000B6D2F" w:rsidRDefault="00A7329A" w:rsidP="00A7329A">
            <w:pPr>
              <w:widowControl w:val="0"/>
              <w:tabs>
                <w:tab w:val="left" w:pos="1284"/>
                <w:tab w:val="left" w:pos="1836"/>
                <w:tab w:val="left" w:pos="2854"/>
                <w:tab w:val="left" w:pos="4626"/>
                <w:tab w:val="left" w:pos="530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242F13" w:rsidRPr="000B6D2F" w:rsidRDefault="00A7329A" w:rsidP="00A7329A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- 18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жасқа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балалар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жасөспі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імдер</w:t>
            </w:r>
            <w:proofErr w:type="spellEnd"/>
          </w:p>
          <w:p w:rsidR="00242F13" w:rsidRPr="000B6D2F" w:rsidRDefault="00A7329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Сақтық шаралары</w:t>
            </w:r>
          </w:p>
          <w:p w:rsidR="00242F13" w:rsidRPr="000B6D2F" w:rsidRDefault="00242F1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21D" w:rsidRPr="000B6D2F" w:rsidRDefault="00B574C3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орташа</w:t>
            </w:r>
            <w:proofErr w:type="spellEnd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бауыр</w:t>
            </w:r>
            <w:proofErr w:type="spellEnd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функциясы </w:t>
            </w:r>
            <w:proofErr w:type="spellStart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жеткіліксіздігі</w:t>
            </w:r>
            <w:proofErr w:type="spellEnd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бар пациенттерге</w:t>
            </w:r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«</w:t>
            </w:r>
            <w:proofErr w:type="spellStart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Фармакокинетика</w:t>
            </w:r>
            <w:proofErr w:type="spellEnd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» </w:t>
            </w:r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бөлім</w:t>
            </w:r>
            <w:proofErr w:type="spellEnd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ін</w:t>
            </w:r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қараңыз</w:t>
            </w:r>
            <w:proofErr w:type="spellEnd"/>
            <w:r w:rsidR="00B8321D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.)</w:t>
            </w:r>
          </w:p>
          <w:p w:rsidR="00B8321D" w:rsidRPr="000B6D2F" w:rsidRDefault="00B8321D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B8321D" w:rsidRPr="000B6D2F" w:rsidRDefault="00B8321D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 функциясының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созылмалы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шемиялық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ауруы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бар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пациенттерге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атап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айтқанда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кернеудің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ұрақты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стенокардиясы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кезінде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 (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«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айрықша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нұсқаулар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»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бө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імін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қараңыз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»)</w:t>
            </w:r>
          </w:p>
          <w:p w:rsidR="00B8321D" w:rsidRPr="000B6D2F" w:rsidRDefault="00B8321D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B8321D" w:rsidRPr="000B6D2F" w:rsidRDefault="00B8321D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- -</w:t>
            </w:r>
            <w:proofErr w:type="spellStart"/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үрекше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қарыншалық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экстрасистолиясы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жүрекше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фибр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илляциясы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жүрекше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тұрақсыздығы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бар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пациенттер</w:t>
            </w:r>
          </w:p>
          <w:p w:rsidR="00B8321D" w:rsidRPr="000B6D2F" w:rsidRDefault="00B8321D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B8321D" w:rsidRPr="000B6D2F" w:rsidRDefault="00B8321D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қант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диабеті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бар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пациенттер</w:t>
            </w:r>
          </w:p>
          <w:p w:rsidR="00B8321D" w:rsidRPr="000B6D2F" w:rsidRDefault="00B8321D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B8321D" w:rsidRPr="000B6D2F" w:rsidRDefault="00B8321D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CYP3A4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CYP2C19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қуатты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блокато</w:t>
            </w:r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рларын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қабылдайтын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пациенттерге</w:t>
            </w:r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«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басқа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дә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ілік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заттармен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өзара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әрек</w:t>
            </w:r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і»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бөлімін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қараңыз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).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Мұндай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жағдайларда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цилостазол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дозасын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тә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ул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ігіне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50 мг-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ге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дейін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азайту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қажет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«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қолдану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тәсілі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дозалары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»</w:t>
            </w:r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бөлімін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қараңыз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).</w:t>
            </w:r>
          </w:p>
          <w:p w:rsidR="00B8321D" w:rsidRPr="000B6D2F" w:rsidRDefault="00B8321D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B8321D" w:rsidRPr="000B6D2F" w:rsidRDefault="00B8321D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қысымын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төмендететін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дә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ілік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</w:t>
            </w:r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епараттарды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қабылдайтын пациенттерге</w:t>
            </w:r>
          </w:p>
          <w:p w:rsidR="00B8321D" w:rsidRPr="000B6D2F" w:rsidRDefault="00B8321D" w:rsidP="00B8321D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242F13" w:rsidRPr="000B6D2F" w:rsidRDefault="00B8321D" w:rsidP="00B8321D">
            <w:pPr>
              <w:widowControl w:val="0"/>
              <w:tabs>
                <w:tab w:val="left" w:pos="395"/>
                <w:tab w:val="left" w:pos="1767"/>
                <w:tab w:val="left" w:pos="3341"/>
                <w:tab w:val="left" w:pos="5078"/>
              </w:tabs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ұюын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төмендететін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дә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ілік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препараттар</w:t>
            </w:r>
            <w:proofErr w:type="spellEnd"/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574507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қабылдайтын пациенттерге</w:t>
            </w:r>
          </w:p>
        </w:tc>
      </w:tr>
      <w:tr w:rsidR="00242F13" w:rsidRPr="000B6D2F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B574C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57450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логиялық қадағалау</w:t>
            </w:r>
          </w:p>
        </w:tc>
      </w:tr>
    </w:tbl>
    <w:p w:rsidR="00242F13" w:rsidRPr="000B6D2F" w:rsidRDefault="00242F13">
      <w:pPr>
        <w:rPr>
          <w:rFonts w:ascii="Times New Roman" w:hAnsi="Times New Roman" w:cs="Times New Roman"/>
          <w:sz w:val="28"/>
          <w:szCs w:val="28"/>
        </w:rPr>
        <w:sectPr w:rsidR="00242F13" w:rsidRPr="000B6D2F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242F13" w:rsidRPr="000B6D2F">
        <w:trPr>
          <w:cantSplit/>
          <w:trHeight w:hRule="exact" w:val="6451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507" w:rsidRPr="000B6D2F" w:rsidRDefault="00574507" w:rsidP="0057450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Фармакологиялық </w:t>
            </w:r>
          </w:p>
          <w:p w:rsidR="00574507" w:rsidRPr="000B6D2F" w:rsidRDefault="00574507" w:rsidP="0057450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қадағалау жүйесінің сипаттамасы</w:t>
            </w:r>
          </w:p>
          <w:p w:rsidR="00242F13" w:rsidRPr="000B6D2F" w:rsidRDefault="00242F13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507" w:rsidRPr="000B6D2F" w:rsidRDefault="00574507" w:rsidP="00574507">
            <w:pPr>
              <w:widowControl w:val="0"/>
              <w:spacing w:line="240" w:lineRule="auto"/>
              <w:ind w:left="60" w:right="68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«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НОВАТОР ФОРМА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»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ЖШ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С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дәрілік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заттардың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қауіпсіздігін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тіркеуден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кейінгі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бақылау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бойынша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міндеттер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мен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міндет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терді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орындау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үшін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фармако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логиялық қадағалау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жүйесіне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ие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.</w:t>
            </w:r>
          </w:p>
          <w:p w:rsidR="00574507" w:rsidRPr="000B6D2F" w:rsidRDefault="00574507" w:rsidP="00574507">
            <w:pPr>
              <w:widowControl w:val="0"/>
              <w:spacing w:line="240" w:lineRule="auto"/>
              <w:ind w:left="60" w:right="68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242F13" w:rsidRPr="000B6D2F" w:rsidRDefault="00574507" w:rsidP="0057450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Жаһандық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фармакологиялық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қадағалау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үшін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жауапты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тұ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лғаны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байланыс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деректері</w:t>
            </w:r>
            <w:proofErr w:type="spellEnd"/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А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зе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ие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242F13" w:rsidRPr="000B6D2F" w:rsidRDefault="00242F1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ф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он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+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447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  <w:p w:rsidR="00242F13" w:rsidRPr="000B6D2F" w:rsidRDefault="00242F13">
            <w:pPr>
              <w:spacing w:after="13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F13" w:rsidRPr="000B6D2F" w:rsidRDefault="0057450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Ұялы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+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  <w:p w:rsidR="00242F13" w:rsidRPr="000B6D2F" w:rsidRDefault="00242F1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Фа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+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344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42F13" w:rsidRPr="000B6D2F" w:rsidRDefault="00242F1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-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m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a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i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l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qpp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v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@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nova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t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o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r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pha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r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m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a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.co.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u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</w:p>
          <w:p w:rsidR="00242F13" w:rsidRPr="000B6D2F" w:rsidRDefault="00242F1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F13" w:rsidRPr="000B6D2F" w:rsidRDefault="00574507">
            <w:pPr>
              <w:widowControl w:val="0"/>
              <w:spacing w:line="240" w:lineRule="auto"/>
              <w:ind w:left="60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мекенжайы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«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оват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»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kk-KZ"/>
              </w:rPr>
              <w:t xml:space="preserve"> ЖШС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8 </w:t>
            </w:r>
            <w:proofErr w:type="spellStart"/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Sh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e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p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her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Market</w:t>
            </w:r>
            <w:proofErr w:type="spellEnd"/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фи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он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он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Ұлы</w:t>
            </w:r>
            <w:proofErr w:type="spellStart"/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британи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:rsidR="00242F13" w:rsidRPr="000B6D2F" w:rsidRDefault="00242F1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507" w:rsidRPr="000B6D2F" w:rsidRDefault="00574507" w:rsidP="00574507">
            <w:pPr>
              <w:widowControl w:val="0"/>
              <w:spacing w:line="240" w:lineRule="auto"/>
              <w:ind w:left="60" w:right="2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Фармако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логиялық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қадағалау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жүйесінің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мастер-файлы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сақталатын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орынға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(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мекенжайға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)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сілтеме</w:t>
            </w:r>
            <w:proofErr w:type="spellEnd"/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«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оват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Фр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»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val="kk-KZ"/>
              </w:rPr>
              <w:t xml:space="preserve"> ЖШС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8 </w:t>
            </w:r>
            <w:proofErr w:type="spellStart"/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S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he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p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he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r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proofErr w:type="spellEnd"/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Market</w:t>
            </w:r>
            <w:proofErr w:type="spellEnd"/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фи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он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он</w:t>
            </w:r>
            <w:r w:rsidR="00B574C3"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Ұлы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британи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  <w:p w:rsidR="00242F13" w:rsidRPr="000B6D2F" w:rsidRDefault="00242F13">
            <w:pPr>
              <w:widowControl w:val="0"/>
              <w:spacing w:line="240" w:lineRule="auto"/>
              <w:ind w:left="60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2F13" w:rsidRPr="000B6D2F" w:rsidTr="00574507">
        <w:trPr>
          <w:cantSplit/>
          <w:trHeight w:hRule="exact" w:val="796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57450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0B6D2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0B6D2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F13" w:rsidRPr="000B6D2F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spacing w:after="1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B574C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57450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F13" w:rsidRPr="000B6D2F" w:rsidRDefault="00242F13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F13" w:rsidRPr="000B6D2F" w:rsidRDefault="0057450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B6D2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Дәрігердің рецептісі бойынша</w:t>
            </w:r>
          </w:p>
        </w:tc>
      </w:tr>
    </w:tbl>
    <w:p w:rsidR="00242F13" w:rsidRPr="000B6D2F" w:rsidRDefault="00B574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6D2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6A84A580" wp14:editId="7DCE1236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242F13" w:rsidRPr="00B574C3" w:rsidRDefault="00B574C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B574C3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242F13" w:rsidRPr="00B574C3" w:rsidRDefault="00B574C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B574C3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242F13" w:rsidRPr="00B574C3" w:rsidRDefault="000B6D2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B574C3" w:rsidRPr="00B574C3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242F13" w:rsidRPr="00B574C3" w:rsidRDefault="00B574C3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B574C3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242F13" w:rsidRPr="00B574C3" w:rsidRDefault="00B574C3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B574C3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242F13" w:rsidRPr="00B574C3" w:rsidRDefault="000B6D2F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B574C3" w:rsidRPr="00B574C3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42F13" w:rsidRPr="000B6D2F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13"/>
    <w:rsid w:val="000B6D2F"/>
    <w:rsid w:val="0010278E"/>
    <w:rsid w:val="00141338"/>
    <w:rsid w:val="00242F13"/>
    <w:rsid w:val="00491B33"/>
    <w:rsid w:val="00574507"/>
    <w:rsid w:val="008540D4"/>
    <w:rsid w:val="00A7329A"/>
    <w:rsid w:val="00B46091"/>
    <w:rsid w:val="00B574C3"/>
    <w:rsid w:val="00B8321D"/>
    <w:rsid w:val="00E823F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2020-03-30T07:27:00Z</dcterms:created>
  <dcterms:modified xsi:type="dcterms:W3CDTF">2020-03-30T14:11:00Z</dcterms:modified>
</cp:coreProperties>
</file>